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99AC" w14:textId="77777777" w:rsidR="00CB6F9A" w:rsidRPr="00ED7D34" w:rsidRDefault="00CB6F9A" w:rsidP="00CB6F9A">
      <w:pPr>
        <w:ind w:left="2160"/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</w:pPr>
      <w:bookmarkStart w:id="0" w:name="_Toc305929018"/>
      <w:r w:rsidRPr="00ED7D34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drawing>
          <wp:anchor distT="0" distB="0" distL="114300" distR="114300" simplePos="0" relativeHeight="251789312" behindDoc="0" locked="0" layoutInCell="1" allowOverlap="1" wp14:anchorId="77C8DE50" wp14:editId="292775E0">
            <wp:simplePos x="0" y="0"/>
            <wp:positionH relativeFrom="column">
              <wp:posOffset>54610</wp:posOffset>
            </wp:positionH>
            <wp:positionV relativeFrom="page">
              <wp:posOffset>230505</wp:posOffset>
            </wp:positionV>
            <wp:extent cx="1181100" cy="102235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C_Logo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34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t xml:space="preserve">CONNECTICUT AMBULATORY </w:t>
      </w:r>
      <w:r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t>SURGERY</w:t>
      </w:r>
      <w:r w:rsidRPr="00ED7D34">
        <w:rPr>
          <w:rFonts w:ascii="Avenir Book" w:eastAsiaTheme="majorEastAsia" w:hAnsi="Avenir Book" w:cstheme="majorBidi"/>
          <w:noProof/>
          <w:color w:val="274870"/>
          <w:w w:val="103"/>
          <w:sz w:val="22"/>
          <w:szCs w:val="25"/>
        </w:rPr>
        <w:t xml:space="preserve"> CENTERS</w:t>
      </w:r>
    </w:p>
    <w:p w14:paraId="329724B1" w14:textId="77777777" w:rsidR="00CB6F9A" w:rsidRPr="00726413" w:rsidRDefault="00CB6F9A" w:rsidP="00CB6F9A">
      <w:pPr>
        <w:ind w:left="2160"/>
        <w:rPr>
          <w:rFonts w:ascii="Avenir Black" w:eastAsiaTheme="majorEastAsia" w:hAnsi="Avenir Black" w:cstheme="majorBidi"/>
          <w:color w:val="274870"/>
          <w:w w:val="101"/>
        </w:rPr>
      </w:pPr>
      <w:r w:rsidRPr="00726413">
        <w:rPr>
          <w:rFonts w:ascii="Avenir Black" w:eastAsiaTheme="majorEastAsia" w:hAnsi="Avenir Black" w:cstheme="majorBidi"/>
          <w:color w:val="274870"/>
          <w:w w:val="101"/>
        </w:rPr>
        <w:t>QUALITY,</w:t>
      </w:r>
      <w:r w:rsidRPr="00726413">
        <w:rPr>
          <w:rFonts w:ascii="Avenir Black" w:eastAsiaTheme="majorEastAsia" w:hAnsi="Avenir Black" w:cstheme="majorBidi"/>
          <w:color w:val="274870"/>
          <w:w w:val="101"/>
          <w:sz w:val="14"/>
        </w:rPr>
        <w:t xml:space="preserve"> </w:t>
      </w:r>
      <w:r w:rsidRPr="00726413">
        <w:rPr>
          <w:rFonts w:ascii="Avenir Black" w:eastAsiaTheme="majorEastAsia" w:hAnsi="Avenir Black" w:cstheme="majorBidi"/>
          <w:color w:val="274870"/>
          <w:w w:val="101"/>
        </w:rPr>
        <w:t>AFFORDABLE,</w:t>
      </w:r>
      <w:r w:rsidRPr="00726413">
        <w:rPr>
          <w:rFonts w:ascii="Avenir Black" w:eastAsiaTheme="majorEastAsia" w:hAnsi="Avenir Black" w:cstheme="majorBidi"/>
          <w:color w:val="274870"/>
          <w:w w:val="101"/>
          <w:sz w:val="16"/>
        </w:rPr>
        <w:t xml:space="preserve"> </w:t>
      </w:r>
      <w:r w:rsidRPr="00726413">
        <w:rPr>
          <w:rFonts w:ascii="Avenir Black" w:eastAsiaTheme="majorEastAsia" w:hAnsi="Avenir Black" w:cstheme="majorBidi"/>
          <w:color w:val="274870"/>
          <w:w w:val="101"/>
        </w:rPr>
        <w:t>ACCESSIBLE HEALTHCARE</w:t>
      </w:r>
    </w:p>
    <w:p w14:paraId="6B675F88" w14:textId="50C4444B" w:rsidR="00CB6F9A" w:rsidRDefault="00CB6F9A" w:rsidP="00CB6F9A">
      <w:pPr>
        <w:pStyle w:val="TOCHeading"/>
        <w:jc w:val="center"/>
        <w:rPr>
          <w:rFonts w:ascii="Avenir Medium" w:hAnsi="Avenir Medium"/>
          <w:bCs w:val="0"/>
          <w:color w:val="C0504D" w:themeColor="accent2"/>
        </w:rPr>
      </w:pPr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A3587E" wp14:editId="0D4FBFB1">
                <wp:simplePos x="0" y="0"/>
                <wp:positionH relativeFrom="column">
                  <wp:posOffset>-1650153</wp:posOffset>
                </wp:positionH>
                <wp:positionV relativeFrom="paragraph">
                  <wp:posOffset>529590</wp:posOffset>
                </wp:positionV>
                <wp:extent cx="6663055" cy="0"/>
                <wp:effectExtent l="50800" t="25400" r="67945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B18CD" id="Straight Connector 2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95pt,41.7pt" to="394.7pt,4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" strokecolor="#9bbb59 [3206]" strokeweight="2pt">
                <v:shadow on="t" opacity="24903f" mv:blur="40000f" origin=",.5" offset="0,20000emu"/>
              </v:line>
            </w:pict>
          </mc:Fallback>
        </mc:AlternateContent>
      </w:r>
    </w:p>
    <w:p w14:paraId="1D80893D" w14:textId="49655D97" w:rsidR="000A2BB8" w:rsidRPr="00407CAB" w:rsidRDefault="000A2BB8" w:rsidP="000A2BB8">
      <w:pPr>
        <w:jc w:val="center"/>
        <w:rPr>
          <w:color w:val="C0504D" w:themeColor="accent2"/>
        </w:rPr>
      </w:pPr>
    </w:p>
    <w:p w14:paraId="1527BE78" w14:textId="77777777" w:rsidR="000A2BB8" w:rsidRPr="000A2BB8" w:rsidRDefault="00D14ADE" w:rsidP="000A2BB8">
      <w:pPr>
        <w:spacing w:line="276" w:lineRule="auto"/>
        <w:rPr>
          <w:rStyle w:val="Heading2Char"/>
        </w:rPr>
      </w:pPr>
      <w:r w:rsidRPr="000A2BB8">
        <w:rPr>
          <w:rStyle w:val="Heading2Char"/>
        </w:rPr>
        <w:t>FACT SHEET</w:t>
      </w:r>
    </w:p>
    <w:p w14:paraId="3A840A8A" w14:textId="5D06068E" w:rsidR="00495081" w:rsidRDefault="00C047FB" w:rsidP="000A2BB8">
      <w:pPr>
        <w:spacing w:line="276" w:lineRule="auto"/>
        <w:rPr>
          <w:rStyle w:val="Heading2Char"/>
        </w:rPr>
      </w:pPr>
      <w:r w:rsidRPr="000A2BB8">
        <w:rPr>
          <w:rStyle w:val="Heading2Char"/>
        </w:rPr>
        <w:t>Connecticut Ambulatory Surgery Centers</w:t>
      </w:r>
      <w:bookmarkEnd w:id="0"/>
    </w:p>
    <w:p w14:paraId="40DEAEC5" w14:textId="77777777" w:rsidR="00C047FB" w:rsidRPr="00C047FB" w:rsidRDefault="00C047FB" w:rsidP="00FA77DA">
      <w:pPr>
        <w:spacing w:line="276" w:lineRule="auto"/>
        <w:rPr>
          <w:rFonts w:ascii="Georgia" w:hAnsi="Georgia"/>
        </w:rPr>
      </w:pPr>
    </w:p>
    <w:p w14:paraId="28870682" w14:textId="0BC12319" w:rsidR="00C047FB" w:rsidRDefault="002227A8" w:rsidP="000A2BB8">
      <w:pPr>
        <w:spacing w:line="276" w:lineRule="auto"/>
        <w:ind w:right="-180"/>
        <w:rPr>
          <w:rFonts w:ascii="Baskerville" w:hAnsi="Baskerville"/>
        </w:rPr>
      </w:pPr>
      <w:r w:rsidRPr="002227A8">
        <w:rPr>
          <w:rFonts w:ascii="Baskerville" w:hAnsi="Baskerville"/>
        </w:rPr>
        <w:t xml:space="preserve">Connecticut’s </w:t>
      </w:r>
      <w:r w:rsidR="009B5659">
        <w:rPr>
          <w:rFonts w:ascii="Baskerville" w:hAnsi="Baskerville"/>
        </w:rPr>
        <w:t xml:space="preserve">61 </w:t>
      </w:r>
      <w:r w:rsidR="00ED7D34">
        <w:rPr>
          <w:rFonts w:ascii="Baskerville" w:hAnsi="Baskerville"/>
        </w:rPr>
        <w:t>ambulatory surgical care</w:t>
      </w:r>
      <w:r w:rsidR="00CD35AD">
        <w:rPr>
          <w:rFonts w:ascii="Baskerville" w:hAnsi="Baskerville"/>
        </w:rPr>
        <w:t xml:space="preserve"> facilities</w:t>
      </w:r>
      <w:r w:rsidR="00106E20">
        <w:rPr>
          <w:rFonts w:ascii="Baskerville" w:hAnsi="Baskerville"/>
        </w:rPr>
        <w:t xml:space="preserve"> </w:t>
      </w:r>
      <w:r w:rsidR="00FD5EE9">
        <w:rPr>
          <w:rFonts w:ascii="Baskerville" w:hAnsi="Baskerville"/>
        </w:rPr>
        <w:t>(ASCs)</w:t>
      </w:r>
      <w:r w:rsidR="009A06FB">
        <w:rPr>
          <w:rFonts w:ascii="Baskerville" w:hAnsi="Baskerville"/>
        </w:rPr>
        <w:t xml:space="preserve"> </w:t>
      </w:r>
      <w:r w:rsidR="00C047FB" w:rsidRPr="002227A8">
        <w:rPr>
          <w:rFonts w:ascii="Baskerville" w:hAnsi="Baskerville"/>
        </w:rPr>
        <w:t>are located in all corners of the state</w:t>
      </w:r>
      <w:r w:rsidR="00FD5EE9">
        <w:rPr>
          <w:rFonts w:ascii="Baskerville" w:hAnsi="Baskerville"/>
        </w:rPr>
        <w:t xml:space="preserve">, including 45 Medicare-certified ASCs. </w:t>
      </w:r>
      <w:r w:rsidR="00CD32F6">
        <w:rPr>
          <w:rFonts w:ascii="Baskerville" w:hAnsi="Baskerville"/>
        </w:rPr>
        <w:t xml:space="preserve"> </w:t>
      </w:r>
      <w:r w:rsidRPr="002227A8">
        <w:rPr>
          <w:rFonts w:ascii="Baskerville" w:hAnsi="Baskerville"/>
        </w:rPr>
        <w:t>They offer</w:t>
      </w:r>
      <w:r w:rsidR="00C047FB" w:rsidRPr="002227A8">
        <w:rPr>
          <w:rFonts w:ascii="Baskerville" w:hAnsi="Baskerville"/>
        </w:rPr>
        <w:t xml:space="preserve"> quality</w:t>
      </w:r>
      <w:r w:rsidR="00816116">
        <w:rPr>
          <w:rFonts w:ascii="Baskerville" w:hAnsi="Baskerville"/>
        </w:rPr>
        <w:t xml:space="preserve"> patient-</w:t>
      </w:r>
      <w:r w:rsidR="009B5659">
        <w:rPr>
          <w:rFonts w:ascii="Baskerville" w:hAnsi="Baskerville"/>
        </w:rPr>
        <w:t xml:space="preserve">focused surgical care and </w:t>
      </w:r>
      <w:r w:rsidR="00C047FB" w:rsidRPr="002227A8">
        <w:rPr>
          <w:rFonts w:ascii="Baskerville" w:hAnsi="Baskerville"/>
        </w:rPr>
        <w:t>considerable cost savings to both patients and health insurers</w:t>
      </w:r>
      <w:r w:rsidR="00EF4917">
        <w:rPr>
          <w:rFonts w:ascii="Baskerville" w:hAnsi="Baskerville"/>
        </w:rPr>
        <w:t>,</w:t>
      </w:r>
      <w:r w:rsidR="00C047FB" w:rsidRPr="002227A8">
        <w:rPr>
          <w:rFonts w:ascii="Baskerville" w:hAnsi="Baskerville"/>
        </w:rPr>
        <w:t xml:space="preserve"> </w:t>
      </w:r>
      <w:r w:rsidR="009B5659">
        <w:rPr>
          <w:rFonts w:ascii="Baskerville" w:hAnsi="Baskerville"/>
        </w:rPr>
        <w:t>compared to</w:t>
      </w:r>
      <w:r w:rsidR="00C047FB" w:rsidRPr="002227A8">
        <w:rPr>
          <w:rFonts w:ascii="Baskerville" w:hAnsi="Baskerville"/>
        </w:rPr>
        <w:t xml:space="preserve"> </w:t>
      </w:r>
      <w:r w:rsidRPr="002227A8">
        <w:rPr>
          <w:rFonts w:ascii="Baskerville" w:hAnsi="Baskerville"/>
        </w:rPr>
        <w:t>traditional hospital surgeries</w:t>
      </w:r>
      <w:r w:rsidR="00CD32F6">
        <w:rPr>
          <w:rFonts w:ascii="Baskerville" w:hAnsi="Baskerville"/>
        </w:rPr>
        <w:t xml:space="preserve">. </w:t>
      </w:r>
      <w:r w:rsidRPr="002227A8">
        <w:rPr>
          <w:rFonts w:ascii="Baskerville" w:hAnsi="Baskerville"/>
        </w:rPr>
        <w:t>T</w:t>
      </w:r>
      <w:r w:rsidR="00C047FB" w:rsidRPr="002227A8">
        <w:rPr>
          <w:rFonts w:ascii="Baskerville" w:hAnsi="Baskerville"/>
        </w:rPr>
        <w:t>hey play an important role in the economy of our state.</w:t>
      </w:r>
    </w:p>
    <w:p w14:paraId="021AF836" w14:textId="77777777" w:rsidR="009B5659" w:rsidRPr="00FA77DA" w:rsidRDefault="009B5659" w:rsidP="00C047FB">
      <w:pPr>
        <w:spacing w:line="276" w:lineRule="auto"/>
        <w:rPr>
          <w:rFonts w:ascii="Baskerville" w:hAnsi="Baskerville"/>
          <w:sz w:val="14"/>
        </w:rPr>
      </w:pPr>
    </w:p>
    <w:p w14:paraId="23B9BEB0" w14:textId="0D2B857E" w:rsidR="009B5659" w:rsidRDefault="009B5659" w:rsidP="00FA77DA">
      <w:pPr>
        <w:spacing w:line="276" w:lineRule="auto"/>
        <w:rPr>
          <w:rFonts w:ascii="Baskerville" w:hAnsi="Baskerville"/>
        </w:rPr>
      </w:pPr>
      <w:r w:rsidRPr="002227A8">
        <w:rPr>
          <w:rFonts w:ascii="Baskerville" w:hAnsi="Baskerville"/>
        </w:rPr>
        <w:t>In</w:t>
      </w:r>
      <w:r w:rsidR="00463471">
        <w:rPr>
          <w:rFonts w:ascii="Baskerville" w:hAnsi="Baskerville"/>
        </w:rPr>
        <w:t xml:space="preserve"> Connecticut, </w:t>
      </w:r>
      <w:r w:rsidR="00D14ADE">
        <w:rPr>
          <w:rFonts w:ascii="Baskerville" w:hAnsi="Baskerville"/>
        </w:rPr>
        <w:t>a procedure</w:t>
      </w:r>
      <w:r w:rsidR="00463471">
        <w:rPr>
          <w:rFonts w:ascii="Baskerville" w:hAnsi="Baskerville"/>
        </w:rPr>
        <w:t xml:space="preserve"> at </w:t>
      </w:r>
      <w:r w:rsidR="00D14ADE">
        <w:rPr>
          <w:rFonts w:ascii="Baskerville" w:hAnsi="Baskerville"/>
        </w:rPr>
        <w:t xml:space="preserve">an </w:t>
      </w:r>
      <w:r w:rsidR="00CD35AD">
        <w:rPr>
          <w:rFonts w:ascii="Baskerville" w:hAnsi="Baskerville"/>
        </w:rPr>
        <w:t>ambulatory surgery center</w:t>
      </w:r>
      <w:r w:rsidRPr="002227A8">
        <w:rPr>
          <w:rFonts w:ascii="Baskerville" w:hAnsi="Baskerville"/>
        </w:rPr>
        <w:t xml:space="preserve"> can </w:t>
      </w:r>
      <w:r w:rsidR="001D4CE6">
        <w:rPr>
          <w:rFonts w:ascii="Baskerville" w:hAnsi="Baskerville"/>
        </w:rPr>
        <w:t>cost</w:t>
      </w:r>
      <w:r w:rsidRPr="002227A8">
        <w:rPr>
          <w:rFonts w:ascii="Baskerville" w:hAnsi="Baskerville"/>
        </w:rPr>
        <w:t xml:space="preserve"> less than half of what the same procedure would cost at a hospital:</w:t>
      </w:r>
    </w:p>
    <w:p w14:paraId="01A00BE1" w14:textId="77777777" w:rsidR="00D14ADE" w:rsidRPr="00B93229" w:rsidRDefault="00D14ADE" w:rsidP="00FA77DA">
      <w:pPr>
        <w:spacing w:line="276" w:lineRule="auto"/>
        <w:rPr>
          <w:rFonts w:ascii="Baskerville" w:hAnsi="Baskerville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B5659" w:rsidRPr="001D4CE6" w14:paraId="5E516F34" w14:textId="77777777" w:rsidTr="009B5659">
        <w:tc>
          <w:tcPr>
            <w:tcW w:w="2952" w:type="dxa"/>
          </w:tcPr>
          <w:p w14:paraId="27D532BE" w14:textId="77777777" w:rsidR="009B5659" w:rsidRPr="001D4CE6" w:rsidRDefault="009B5659" w:rsidP="001D4CE6">
            <w:pPr>
              <w:spacing w:line="276" w:lineRule="auto"/>
              <w:jc w:val="center"/>
              <w:rPr>
                <w:rFonts w:ascii="Baskerville" w:hAnsi="Baskerville"/>
                <w:i/>
              </w:rPr>
            </w:pPr>
            <w:r w:rsidRPr="001D4CE6">
              <w:rPr>
                <w:rFonts w:ascii="Baskerville" w:hAnsi="Baskerville"/>
                <w:i/>
              </w:rPr>
              <w:t>Outpatient Surgery</w:t>
            </w:r>
          </w:p>
        </w:tc>
        <w:tc>
          <w:tcPr>
            <w:tcW w:w="2952" w:type="dxa"/>
          </w:tcPr>
          <w:p w14:paraId="39085D78" w14:textId="77777777" w:rsidR="009B5659" w:rsidRPr="001D4CE6" w:rsidRDefault="009B5659" w:rsidP="001D4CE6">
            <w:pPr>
              <w:spacing w:line="276" w:lineRule="auto"/>
              <w:jc w:val="center"/>
              <w:rPr>
                <w:rFonts w:ascii="Baskerville" w:hAnsi="Baskerville"/>
                <w:i/>
              </w:rPr>
            </w:pPr>
            <w:r w:rsidRPr="001D4CE6">
              <w:rPr>
                <w:rFonts w:ascii="Baskerville" w:hAnsi="Baskerville"/>
                <w:i/>
              </w:rPr>
              <w:t>Avg. Hospital Cost</w:t>
            </w:r>
          </w:p>
        </w:tc>
        <w:tc>
          <w:tcPr>
            <w:tcW w:w="2952" w:type="dxa"/>
          </w:tcPr>
          <w:p w14:paraId="10F69226" w14:textId="77777777" w:rsidR="009B5659" w:rsidRPr="001D4CE6" w:rsidRDefault="009B5659" w:rsidP="001D4CE6">
            <w:pPr>
              <w:spacing w:line="276" w:lineRule="auto"/>
              <w:jc w:val="center"/>
              <w:rPr>
                <w:rFonts w:ascii="Baskerville" w:hAnsi="Baskerville"/>
                <w:i/>
              </w:rPr>
            </w:pPr>
            <w:r w:rsidRPr="001D4CE6">
              <w:rPr>
                <w:rFonts w:ascii="Baskerville" w:hAnsi="Baskerville"/>
                <w:i/>
              </w:rPr>
              <w:t>Avg. ASC Cost</w:t>
            </w:r>
          </w:p>
        </w:tc>
      </w:tr>
      <w:tr w:rsidR="009B5659" w:rsidRPr="002227A8" w14:paraId="2AF5491D" w14:textId="77777777" w:rsidTr="009B5659">
        <w:tc>
          <w:tcPr>
            <w:tcW w:w="2952" w:type="dxa"/>
          </w:tcPr>
          <w:p w14:paraId="75240EF4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Knee or Shoulder</w:t>
            </w:r>
          </w:p>
        </w:tc>
        <w:tc>
          <w:tcPr>
            <w:tcW w:w="2952" w:type="dxa"/>
          </w:tcPr>
          <w:p w14:paraId="035EAA85" w14:textId="77777777" w:rsidR="009B5659" w:rsidRPr="002227A8" w:rsidRDefault="009B5659" w:rsidP="00CB6F9A">
            <w:pPr>
              <w:spacing w:line="276" w:lineRule="auto"/>
              <w:jc w:val="center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$5,000</w:t>
            </w:r>
          </w:p>
        </w:tc>
        <w:tc>
          <w:tcPr>
            <w:tcW w:w="2952" w:type="dxa"/>
          </w:tcPr>
          <w:p w14:paraId="61C057CD" w14:textId="58F3891A" w:rsidR="009B5659" w:rsidRPr="002227A8" w:rsidRDefault="009B5659" w:rsidP="00CB6F9A">
            <w:pPr>
              <w:spacing w:line="276" w:lineRule="auto"/>
              <w:jc w:val="center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$1,900</w:t>
            </w:r>
          </w:p>
        </w:tc>
      </w:tr>
      <w:tr w:rsidR="009B5659" w:rsidRPr="002227A8" w14:paraId="44D19AE8" w14:textId="77777777" w:rsidTr="009B5659">
        <w:tc>
          <w:tcPr>
            <w:tcW w:w="2952" w:type="dxa"/>
          </w:tcPr>
          <w:p w14:paraId="1F0297C2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Endoscopy</w:t>
            </w:r>
          </w:p>
        </w:tc>
        <w:tc>
          <w:tcPr>
            <w:tcW w:w="2952" w:type="dxa"/>
          </w:tcPr>
          <w:p w14:paraId="4184A61F" w14:textId="77777777" w:rsidR="009B5659" w:rsidRPr="002227A8" w:rsidRDefault="009B5659" w:rsidP="00CB6F9A">
            <w:pPr>
              <w:spacing w:line="276" w:lineRule="auto"/>
              <w:jc w:val="center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$1,306</w:t>
            </w:r>
          </w:p>
        </w:tc>
        <w:tc>
          <w:tcPr>
            <w:tcW w:w="2952" w:type="dxa"/>
          </w:tcPr>
          <w:p w14:paraId="18E5D964" w14:textId="77777777" w:rsidR="009B5659" w:rsidRPr="002227A8" w:rsidRDefault="009B5659" w:rsidP="00CB6F9A">
            <w:pPr>
              <w:spacing w:line="276" w:lineRule="auto"/>
              <w:jc w:val="center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$634</w:t>
            </w:r>
          </w:p>
        </w:tc>
      </w:tr>
      <w:tr w:rsidR="009B5659" w:rsidRPr="002227A8" w14:paraId="0FE8CABC" w14:textId="77777777" w:rsidTr="009B5659">
        <w:tc>
          <w:tcPr>
            <w:tcW w:w="2952" w:type="dxa"/>
          </w:tcPr>
          <w:p w14:paraId="38309E5C" w14:textId="77777777" w:rsidR="009B5659" w:rsidRPr="002227A8" w:rsidRDefault="009B5659" w:rsidP="009B5659">
            <w:pPr>
              <w:spacing w:line="276" w:lineRule="auto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Colonoscopy</w:t>
            </w:r>
          </w:p>
        </w:tc>
        <w:tc>
          <w:tcPr>
            <w:tcW w:w="2952" w:type="dxa"/>
          </w:tcPr>
          <w:p w14:paraId="3C37EE5D" w14:textId="77777777" w:rsidR="009B5659" w:rsidRPr="002227A8" w:rsidRDefault="009B5659" w:rsidP="00CB6F9A">
            <w:pPr>
              <w:spacing w:line="276" w:lineRule="auto"/>
              <w:jc w:val="center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$1,611</w:t>
            </w:r>
          </w:p>
        </w:tc>
        <w:tc>
          <w:tcPr>
            <w:tcW w:w="2952" w:type="dxa"/>
          </w:tcPr>
          <w:p w14:paraId="48C02F71" w14:textId="77777777" w:rsidR="009B5659" w:rsidRPr="002227A8" w:rsidRDefault="009B5659" w:rsidP="00CB6F9A">
            <w:pPr>
              <w:spacing w:line="276" w:lineRule="auto"/>
              <w:jc w:val="center"/>
              <w:rPr>
                <w:rFonts w:ascii="Baskerville" w:hAnsi="Baskerville"/>
              </w:rPr>
            </w:pPr>
            <w:r w:rsidRPr="002227A8">
              <w:rPr>
                <w:rFonts w:ascii="Baskerville" w:hAnsi="Baskerville"/>
              </w:rPr>
              <w:t>$754</w:t>
            </w:r>
          </w:p>
        </w:tc>
      </w:tr>
    </w:tbl>
    <w:p w14:paraId="70B6491D" w14:textId="77777777" w:rsidR="009B5659" w:rsidRPr="000A2BB8" w:rsidRDefault="009B5659" w:rsidP="009B5659">
      <w:pPr>
        <w:spacing w:line="276" w:lineRule="auto"/>
        <w:rPr>
          <w:rFonts w:ascii="Baskerville" w:hAnsi="Baskerville"/>
          <w:sz w:val="6"/>
        </w:rPr>
      </w:pPr>
    </w:p>
    <w:p w14:paraId="7695349C" w14:textId="78BA7258" w:rsidR="00495081" w:rsidRDefault="009B5659" w:rsidP="009B5659">
      <w:pPr>
        <w:spacing w:line="276" w:lineRule="auto"/>
        <w:rPr>
          <w:rFonts w:ascii="Baskerville" w:hAnsi="Baskerville"/>
          <w:i/>
        </w:rPr>
      </w:pPr>
      <w:r w:rsidRPr="00C460CC">
        <w:rPr>
          <w:rFonts w:ascii="Baskerville" w:hAnsi="Baskerville"/>
          <w:i/>
        </w:rPr>
        <w:t xml:space="preserve">Source: </w:t>
      </w:r>
      <w:hyperlink r:id="rId9" w:history="1">
        <w:r w:rsidRPr="00C460CC">
          <w:rPr>
            <w:rStyle w:val="Hyperlink"/>
            <w:rFonts w:ascii="Baskerville" w:hAnsi="Baskerville"/>
            <w:i/>
          </w:rPr>
          <w:t>Preferred Locations for Ambulatory Surgery Centers, Connecticut Business and Industry Association</w:t>
        </w:r>
      </w:hyperlink>
    </w:p>
    <w:p w14:paraId="5F1160E6" w14:textId="31D014BE" w:rsidR="00C047FB" w:rsidRPr="000A2BB8" w:rsidRDefault="00C047FB" w:rsidP="00C047FB">
      <w:pPr>
        <w:spacing w:line="276" w:lineRule="auto"/>
        <w:rPr>
          <w:rFonts w:ascii="Baskerville" w:hAnsi="Baskerville"/>
          <w:sz w:val="12"/>
        </w:rPr>
      </w:pPr>
    </w:p>
    <w:p w14:paraId="38BF2FD2" w14:textId="06D02E62" w:rsidR="00C047FB" w:rsidRPr="002227A8" w:rsidRDefault="00463471" w:rsidP="00472741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askerville" w:hAnsi="Baskerville"/>
        </w:rPr>
      </w:pPr>
      <w:r>
        <w:rPr>
          <w:rFonts w:ascii="Baskerville" w:hAnsi="Baskerville"/>
        </w:rPr>
        <w:t>ASC</w:t>
      </w:r>
      <w:r w:rsidR="00C047FB" w:rsidRPr="002227A8">
        <w:rPr>
          <w:rFonts w:ascii="Baskerville" w:hAnsi="Baskerville"/>
        </w:rPr>
        <w:t>s perform</w:t>
      </w:r>
      <w:r w:rsidR="00DF4E9E">
        <w:rPr>
          <w:rFonts w:ascii="Baskerville" w:hAnsi="Baskerville"/>
        </w:rPr>
        <w:t xml:space="preserve"> about 200,000</w:t>
      </w:r>
      <w:r w:rsidR="00C047FB" w:rsidRPr="002227A8">
        <w:rPr>
          <w:rFonts w:ascii="Baskerville" w:hAnsi="Baskerville"/>
        </w:rPr>
        <w:t xml:space="preserve"> med</w:t>
      </w:r>
      <w:r w:rsidR="00D14ADE">
        <w:rPr>
          <w:rFonts w:ascii="Baskerville" w:hAnsi="Baskerville"/>
        </w:rPr>
        <w:t>ical procedures</w:t>
      </w:r>
      <w:r w:rsidR="004B6CBC">
        <w:rPr>
          <w:rFonts w:ascii="Baskerville" w:hAnsi="Baskerville"/>
        </w:rPr>
        <w:t xml:space="preserve"> in Connecticut</w:t>
      </w:r>
      <w:r w:rsidR="00D14ADE">
        <w:rPr>
          <w:rFonts w:ascii="Baskerville" w:hAnsi="Baskerville"/>
        </w:rPr>
        <w:t xml:space="preserve"> each year, in </w:t>
      </w:r>
      <w:r w:rsidR="00C047FB" w:rsidRPr="002227A8">
        <w:rPr>
          <w:rFonts w:ascii="Baskerville" w:hAnsi="Baskerville"/>
        </w:rPr>
        <w:t>setting</w:t>
      </w:r>
      <w:r w:rsidR="00D14ADE">
        <w:rPr>
          <w:rFonts w:ascii="Baskerville" w:hAnsi="Baskerville"/>
        </w:rPr>
        <w:t>s that allow</w:t>
      </w:r>
      <w:r w:rsidR="00C047FB" w:rsidRPr="002227A8">
        <w:rPr>
          <w:rFonts w:ascii="Baskerville" w:hAnsi="Baskerville"/>
        </w:rPr>
        <w:t xml:space="preserve"> doctors to exercise greater control over the surgical experience than in a </w:t>
      </w:r>
      <w:r w:rsidR="00EF4917" w:rsidRPr="002227A8">
        <w:rPr>
          <w:rFonts w:ascii="Baskerville" w:hAnsi="Baskerville"/>
        </w:rPr>
        <w:t>hospital</w:t>
      </w:r>
      <w:r w:rsidR="00DD5710">
        <w:rPr>
          <w:rFonts w:ascii="Baskerville" w:hAnsi="Baskerville"/>
        </w:rPr>
        <w:t>—</w:t>
      </w:r>
      <w:r w:rsidR="00C047FB" w:rsidRPr="002227A8">
        <w:rPr>
          <w:rFonts w:ascii="Baskerville" w:hAnsi="Baskerville"/>
        </w:rPr>
        <w:t xml:space="preserve">because they focus on a specialized </w:t>
      </w:r>
      <w:r w:rsidR="00EF4917">
        <w:rPr>
          <w:rFonts w:ascii="Baskerville" w:hAnsi="Baskerville"/>
        </w:rPr>
        <w:t>group</w:t>
      </w:r>
      <w:r w:rsidR="00EF4917" w:rsidRPr="002227A8">
        <w:rPr>
          <w:rFonts w:ascii="Baskerville" w:hAnsi="Baskerville"/>
        </w:rPr>
        <w:t xml:space="preserve"> </w:t>
      </w:r>
      <w:r w:rsidR="00C047FB" w:rsidRPr="002227A8">
        <w:rPr>
          <w:rFonts w:ascii="Baskerville" w:hAnsi="Baskerville"/>
        </w:rPr>
        <w:t>of surgical procedures.</w:t>
      </w:r>
    </w:p>
    <w:p w14:paraId="199A6415" w14:textId="38EA5C09" w:rsidR="002227A8" w:rsidRPr="0013100B" w:rsidRDefault="002227A8" w:rsidP="00A51846">
      <w:pPr>
        <w:spacing w:line="276" w:lineRule="auto"/>
        <w:rPr>
          <w:rFonts w:ascii="Baskerville" w:hAnsi="Baskerville"/>
          <w:sz w:val="8"/>
          <w:szCs w:val="14"/>
        </w:rPr>
      </w:pPr>
    </w:p>
    <w:p w14:paraId="52FE3678" w14:textId="1E89DC61" w:rsidR="00C047FB" w:rsidRPr="002227A8" w:rsidRDefault="00C047FB" w:rsidP="00472741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Baskerville" w:hAnsi="Baskerville"/>
        </w:rPr>
      </w:pPr>
      <w:r w:rsidRPr="002227A8">
        <w:rPr>
          <w:rFonts w:ascii="Baskerville" w:hAnsi="Baskerville"/>
        </w:rPr>
        <w:t>The most common procedures are cataract surgeries, colonoscopies, endoscopies and orthopedic procedures.</w:t>
      </w:r>
    </w:p>
    <w:p w14:paraId="7D7C8650" w14:textId="77777777" w:rsidR="002227A8" w:rsidRPr="000A2BB8" w:rsidRDefault="002227A8" w:rsidP="000A2BB8">
      <w:pPr>
        <w:spacing w:line="276" w:lineRule="auto"/>
        <w:rPr>
          <w:rFonts w:ascii="Baskerville" w:hAnsi="Baskerville"/>
          <w:sz w:val="14"/>
          <w:szCs w:val="14"/>
        </w:rPr>
      </w:pPr>
    </w:p>
    <w:p w14:paraId="30D0FDD5" w14:textId="76F8907F" w:rsidR="002227A8" w:rsidRPr="00D14ADE" w:rsidRDefault="00FD5EE9" w:rsidP="00D14AD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askerville" w:hAnsi="Baskerville"/>
        </w:rPr>
      </w:pPr>
      <w:r>
        <w:rPr>
          <w:rFonts w:ascii="Baskerville" w:hAnsi="Baskerville"/>
        </w:rPr>
        <w:t>Data from 2014</w:t>
      </w:r>
      <w:r w:rsidR="00D14ADE">
        <w:rPr>
          <w:rFonts w:ascii="Baskerville" w:hAnsi="Baskerville"/>
        </w:rPr>
        <w:t xml:space="preserve"> shows</w:t>
      </w:r>
      <w:r w:rsidR="00EF4917">
        <w:rPr>
          <w:rFonts w:ascii="Baskerville" w:hAnsi="Baskerville"/>
        </w:rPr>
        <w:t xml:space="preserve"> that</w:t>
      </w:r>
      <w:r w:rsidR="00D14ADE">
        <w:rPr>
          <w:rFonts w:ascii="Baskerville" w:hAnsi="Baskerville"/>
        </w:rPr>
        <w:t xml:space="preserve"> </w:t>
      </w:r>
      <w:r w:rsidR="00D14ADE" w:rsidRPr="00D14ADE">
        <w:rPr>
          <w:rFonts w:ascii="Baskerville" w:hAnsi="Baskerville"/>
        </w:rPr>
        <w:t xml:space="preserve">Connecticut patients saved </w:t>
      </w:r>
      <w:r>
        <w:rPr>
          <w:rFonts w:ascii="Baskerville" w:hAnsi="Baskerville"/>
        </w:rPr>
        <w:t>$6.4</w:t>
      </w:r>
      <w:r w:rsidR="00D14ADE" w:rsidRPr="00D14ADE">
        <w:rPr>
          <w:rFonts w:ascii="Baskerville" w:hAnsi="Baskerville"/>
        </w:rPr>
        <w:t xml:space="preserve"> million in health insurance co-pays by electing to have colonoscopies in ASCs</w:t>
      </w:r>
      <w:r w:rsidR="004B6CBC">
        <w:rPr>
          <w:rFonts w:ascii="Baskerville" w:hAnsi="Baskerville"/>
        </w:rPr>
        <w:t>.</w:t>
      </w:r>
      <w:r w:rsidR="0013100B">
        <w:rPr>
          <w:rFonts w:ascii="Baskerville" w:hAnsi="Baskerville"/>
        </w:rPr>
        <w:t xml:space="preserve"> (Source: </w:t>
      </w:r>
      <w:hyperlink r:id="rId10" w:history="1">
        <w:r w:rsidR="0013100B" w:rsidRPr="0013100B">
          <w:rPr>
            <w:rStyle w:val="Hyperlink"/>
            <w:rFonts w:ascii="Baskerville" w:hAnsi="Baskerville"/>
          </w:rPr>
          <w:t>ASCA</w:t>
        </w:r>
      </w:hyperlink>
      <w:r w:rsidR="0013100B">
        <w:rPr>
          <w:rFonts w:ascii="Baskerville" w:hAnsi="Baskerville"/>
        </w:rPr>
        <w:t>)</w:t>
      </w:r>
    </w:p>
    <w:p w14:paraId="62389C4C" w14:textId="77777777" w:rsidR="00D14ADE" w:rsidRPr="000A2BB8" w:rsidRDefault="00D14ADE" w:rsidP="00D14ADE">
      <w:pPr>
        <w:pStyle w:val="ListParagraph"/>
        <w:spacing w:line="276" w:lineRule="auto"/>
        <w:ind w:left="360"/>
        <w:rPr>
          <w:rFonts w:ascii="Baskerville" w:hAnsi="Baskerville"/>
          <w:sz w:val="14"/>
        </w:rPr>
      </w:pPr>
    </w:p>
    <w:p w14:paraId="028D8839" w14:textId="42FDEC9F" w:rsidR="00D14ADE" w:rsidRDefault="00FD5EE9" w:rsidP="00D14AD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askerville" w:hAnsi="Baskerville"/>
        </w:rPr>
      </w:pPr>
      <w:r>
        <w:rPr>
          <w:rFonts w:ascii="Baskerville" w:hAnsi="Baskerville"/>
        </w:rPr>
        <w:t>In 2015</w:t>
      </w:r>
      <w:r w:rsidR="00463471">
        <w:rPr>
          <w:rFonts w:ascii="Baskerville" w:hAnsi="Baskerville"/>
        </w:rPr>
        <w:t>, Connecticut ASC</w:t>
      </w:r>
      <w:r>
        <w:rPr>
          <w:rFonts w:ascii="Baskerville" w:hAnsi="Baskerville"/>
        </w:rPr>
        <w:t>s saved Medicare $8</w:t>
      </w:r>
      <w:r w:rsidR="00C047FB" w:rsidRPr="002227A8">
        <w:rPr>
          <w:rFonts w:ascii="Baskerville" w:hAnsi="Baskerville"/>
        </w:rPr>
        <w:t xml:space="preserve"> million on cataract surgeries, and more than $</w:t>
      </w:r>
      <w:r>
        <w:rPr>
          <w:rFonts w:ascii="Baskerville" w:hAnsi="Baskerville"/>
        </w:rPr>
        <w:t>2.3</w:t>
      </w:r>
      <w:r w:rsidR="00C047FB" w:rsidRPr="002227A8">
        <w:rPr>
          <w:rFonts w:ascii="Baskerville" w:hAnsi="Baskerville"/>
        </w:rPr>
        <w:t xml:space="preserve"> million on </w:t>
      </w:r>
      <w:r>
        <w:rPr>
          <w:rFonts w:ascii="Baskerville" w:hAnsi="Baskerville"/>
        </w:rPr>
        <w:t>upper GI procedures</w:t>
      </w:r>
      <w:r w:rsidR="00D14ADE">
        <w:rPr>
          <w:rFonts w:ascii="Baskerville" w:hAnsi="Baskerville"/>
        </w:rPr>
        <w:t>.</w:t>
      </w:r>
      <w:r w:rsidR="0013100B">
        <w:rPr>
          <w:rFonts w:ascii="Baskerville" w:hAnsi="Baskerville"/>
        </w:rPr>
        <w:t xml:space="preserve"> (Source: </w:t>
      </w:r>
      <w:hyperlink r:id="rId11" w:history="1">
        <w:r w:rsidR="0013100B" w:rsidRPr="0013100B">
          <w:rPr>
            <w:rStyle w:val="Hyperlink"/>
            <w:rFonts w:ascii="Baskerville" w:hAnsi="Baskerville"/>
          </w:rPr>
          <w:t>ASCA</w:t>
        </w:r>
      </w:hyperlink>
      <w:r w:rsidR="0013100B">
        <w:rPr>
          <w:rFonts w:ascii="Baskerville" w:hAnsi="Baskerville"/>
        </w:rPr>
        <w:t>)</w:t>
      </w:r>
    </w:p>
    <w:p w14:paraId="10562171" w14:textId="0B3E2B9A" w:rsidR="00D14ADE" w:rsidRPr="000A2BB8" w:rsidRDefault="00D14ADE" w:rsidP="00D14ADE">
      <w:pPr>
        <w:spacing w:line="276" w:lineRule="auto"/>
        <w:rPr>
          <w:rFonts w:ascii="Baskerville" w:hAnsi="Baskerville"/>
          <w:sz w:val="14"/>
        </w:rPr>
      </w:pPr>
    </w:p>
    <w:p w14:paraId="12511A76" w14:textId="6B3F2929" w:rsidR="00472741" w:rsidRPr="00D14ADE" w:rsidRDefault="00A95FA9" w:rsidP="00D14ADE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082B42" wp14:editId="32A1D263">
                <wp:simplePos x="0" y="0"/>
                <wp:positionH relativeFrom="column">
                  <wp:posOffset>5628005</wp:posOffset>
                </wp:positionH>
                <wp:positionV relativeFrom="paragraph">
                  <wp:posOffset>174625</wp:posOffset>
                </wp:positionV>
                <wp:extent cx="276860" cy="170180"/>
                <wp:effectExtent l="0" t="0" r="2540" b="762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57FB3" w14:textId="77777777" w:rsidR="0013100B" w:rsidRDefault="0013100B" w:rsidP="00A95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443.15pt;margin-top:13.75pt;width:21.8pt;height:13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" fillcolor="white [3212]" stroked="f">
                <v:textbox>
                  <w:txbxContent>
                    <w:p w14:paraId="47057FB3" w14:textId="77777777" w:rsidR="0013100B" w:rsidRDefault="0013100B" w:rsidP="00A95FA9"/>
                  </w:txbxContent>
                </v:textbox>
                <w10:wrap type="square"/>
              </v:shape>
            </w:pict>
          </mc:Fallback>
        </mc:AlternateContent>
      </w:r>
      <w:r w:rsidR="009B5659" w:rsidRPr="00D14ADE">
        <w:rPr>
          <w:rFonts w:ascii="Baskerville" w:hAnsi="Baskerville"/>
        </w:rPr>
        <w:t>Private health insurance companies enjoy similar s</w:t>
      </w:r>
      <w:r w:rsidR="00452FD6" w:rsidRPr="00D14ADE">
        <w:rPr>
          <w:rFonts w:ascii="Baskerville" w:hAnsi="Baskerville"/>
        </w:rPr>
        <w:t>avings when patients choose ASC</w:t>
      </w:r>
      <w:r w:rsidR="009B5659" w:rsidRPr="00D14ADE">
        <w:rPr>
          <w:rFonts w:ascii="Baskerville" w:hAnsi="Baskerville"/>
        </w:rPr>
        <w:t>s, leading to lower healt</w:t>
      </w:r>
      <w:r w:rsidR="00D14ADE" w:rsidRPr="00D14ADE">
        <w:rPr>
          <w:rFonts w:ascii="Baskerville" w:hAnsi="Baskerville"/>
        </w:rPr>
        <w:t>hcare costs for employers</w:t>
      </w:r>
      <w:r w:rsidR="004B6CBC">
        <w:rPr>
          <w:rFonts w:ascii="Baskerville" w:hAnsi="Baskerville"/>
        </w:rPr>
        <w:t>.</w:t>
      </w:r>
    </w:p>
    <w:p w14:paraId="64434E44" w14:textId="3F1F5F67" w:rsidR="00472741" w:rsidRPr="00472741" w:rsidRDefault="00472741" w:rsidP="00472741">
      <w:pPr>
        <w:spacing w:line="276" w:lineRule="auto"/>
        <w:rPr>
          <w:rFonts w:ascii="Baskerville" w:hAnsi="Baskerville"/>
          <w:sz w:val="14"/>
        </w:rPr>
      </w:pPr>
    </w:p>
    <w:p w14:paraId="6F579F9D" w14:textId="573D3D74" w:rsidR="00FD5EE9" w:rsidRDefault="007A584D" w:rsidP="00FD5EE9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Baskerville" w:hAnsi="Baskerville"/>
        </w:rPr>
      </w:pPr>
      <w:r w:rsidRPr="002227A8">
        <w:rPr>
          <w:rFonts w:ascii="Baskerville" w:hAnsi="Baskerville"/>
        </w:rPr>
        <w:t xml:space="preserve">ASCs are conveniently located for </w:t>
      </w:r>
      <w:r w:rsidR="00FC2FCA" w:rsidRPr="002227A8">
        <w:rPr>
          <w:rFonts w:ascii="Baskerville" w:hAnsi="Baskerville"/>
        </w:rPr>
        <w:t>p</w:t>
      </w:r>
      <w:r w:rsidR="00FC2FCA">
        <w:rPr>
          <w:rFonts w:ascii="Baskerville" w:hAnsi="Baskerville"/>
        </w:rPr>
        <w:t>atients</w:t>
      </w:r>
      <w:r w:rsidR="00DD5710">
        <w:rPr>
          <w:rFonts w:ascii="Baskerville" w:hAnsi="Baskerville"/>
        </w:rPr>
        <w:t>—</w:t>
      </w:r>
      <w:r>
        <w:rPr>
          <w:rFonts w:ascii="Baskerville" w:hAnsi="Baskerville"/>
        </w:rPr>
        <w:t>allowing Connecticut r</w:t>
      </w:r>
      <w:r w:rsidRPr="002227A8">
        <w:rPr>
          <w:rFonts w:ascii="Baskerville" w:hAnsi="Baskerville"/>
        </w:rPr>
        <w:t>esidents to receive high-quality surgical services in their local communities</w:t>
      </w:r>
      <w:r w:rsidR="00106E20">
        <w:rPr>
          <w:rFonts w:ascii="Baskerville" w:hAnsi="Baskerville"/>
        </w:rPr>
        <w:t>.</w:t>
      </w:r>
    </w:p>
    <w:p w14:paraId="6E5FF80F" w14:textId="77777777" w:rsidR="00CB6F9A" w:rsidRDefault="00CB6F9A" w:rsidP="00CB6F9A">
      <w:pPr>
        <w:spacing w:line="276" w:lineRule="auto"/>
        <w:rPr>
          <w:rFonts w:ascii="Baskerville" w:hAnsi="Baskerville"/>
        </w:rPr>
      </w:pPr>
    </w:p>
    <w:p w14:paraId="0BD8EF56" w14:textId="77777777" w:rsidR="00CB6F9A" w:rsidRDefault="00CB6F9A" w:rsidP="00CB6F9A">
      <w:pPr>
        <w:spacing w:line="276" w:lineRule="auto"/>
        <w:rPr>
          <w:rFonts w:ascii="Baskerville" w:hAnsi="Baskerville"/>
        </w:rPr>
      </w:pPr>
    </w:p>
    <w:p w14:paraId="69E1C938" w14:textId="77777777" w:rsidR="00EF4C07" w:rsidRPr="007F6DB4" w:rsidRDefault="00EF4C07" w:rsidP="00CB6F9A">
      <w:pPr>
        <w:spacing w:line="276" w:lineRule="auto"/>
        <w:rPr>
          <w:rFonts w:ascii="Baskerville" w:hAnsi="Baskerville"/>
          <w:sz w:val="36"/>
        </w:rPr>
      </w:pPr>
      <w:bookmarkStart w:id="1" w:name="_GoBack"/>
      <w:bookmarkEnd w:id="1"/>
    </w:p>
    <w:tbl>
      <w:tblPr>
        <w:tblStyle w:val="TableGrid"/>
        <w:tblW w:w="9984" w:type="dxa"/>
        <w:jc w:val="center"/>
        <w:tblLook w:val="04A0" w:firstRow="1" w:lastRow="0" w:firstColumn="1" w:lastColumn="0" w:noHBand="0" w:noVBand="1"/>
      </w:tblPr>
      <w:tblGrid>
        <w:gridCol w:w="4176"/>
        <w:gridCol w:w="5808"/>
      </w:tblGrid>
      <w:tr w:rsidR="00CB6F9A" w14:paraId="5DEAAE24" w14:textId="77777777" w:rsidTr="00CB231F">
        <w:trPr>
          <w:trHeight w:val="1086"/>
          <w:jc w:val="center"/>
        </w:trPr>
        <w:tc>
          <w:tcPr>
            <w:tcW w:w="4176" w:type="dxa"/>
          </w:tcPr>
          <w:p w14:paraId="1C626B98" w14:textId="77777777" w:rsidR="00CB6F9A" w:rsidRDefault="00CB6F9A" w:rsidP="00CB231F">
            <w:pPr>
              <w:spacing w:line="276" w:lineRule="auto"/>
              <w:rPr>
                <w:rFonts w:ascii="Baskerville" w:hAnsi="Baskerville" w:cs=" ˘ø◊«‰"/>
                <w:color w:val="00000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F277D03" wp14:editId="78F39F13">
                  <wp:extent cx="2504622" cy="609557"/>
                  <wp:effectExtent l="0" t="0" r="10160" b="63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62" cy="61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06C66649" w14:textId="77777777" w:rsidR="00CB6F9A" w:rsidRPr="007F6DB4" w:rsidRDefault="00CB6F9A" w:rsidP="00CB231F">
            <w:pPr>
              <w:spacing w:line="276" w:lineRule="auto"/>
              <w:rPr>
                <w:rFonts w:ascii="Baskerville" w:hAnsi="Baskerville" w:cs=" ˘ø◊«‰"/>
                <w:color w:val="000000"/>
                <w:sz w:val="21"/>
                <w:szCs w:val="21"/>
              </w:rPr>
            </w:pPr>
            <w:r w:rsidRPr="007F6DB4">
              <w:rPr>
                <w:rFonts w:ascii="Baskerville" w:hAnsi="Baskerville" w:cs=" ˘ø◊«‰"/>
                <w:color w:val="000000"/>
                <w:sz w:val="21"/>
                <w:szCs w:val="21"/>
              </w:rPr>
              <w:t>Contacts:</w:t>
            </w:r>
          </w:p>
          <w:p w14:paraId="044EBD9D" w14:textId="77777777" w:rsidR="00CB6F9A" w:rsidRPr="007F6DB4" w:rsidRDefault="00CB6F9A" w:rsidP="00CB231F">
            <w:pPr>
              <w:spacing w:line="252" w:lineRule="auto"/>
              <w:rPr>
                <w:rFonts w:ascii="Baskerville" w:hAnsi="Baskerville"/>
                <w:sz w:val="21"/>
                <w:szCs w:val="21"/>
              </w:rPr>
            </w:pPr>
            <w:r w:rsidRPr="007F6DB4">
              <w:rPr>
                <w:rFonts w:ascii="Baskerville" w:hAnsi="Baskerville"/>
                <w:sz w:val="21"/>
                <w:szCs w:val="21"/>
              </w:rPr>
              <w:t xml:space="preserve">Lisa Winkler </w:t>
            </w:r>
            <w:r w:rsidRPr="007F6DB4">
              <w:rPr>
                <w:rFonts w:ascii="Baskerville" w:hAnsi="Baskerville" w:cs="Calibri"/>
                <w:sz w:val="21"/>
                <w:szCs w:val="21"/>
              </w:rPr>
              <w:t xml:space="preserve">- 860.614.6102 or </w:t>
            </w:r>
            <w:hyperlink r:id="rId13" w:history="1">
              <w:r w:rsidRPr="007F6DB4">
                <w:rPr>
                  <w:rFonts w:ascii="Baskerville" w:hAnsi="Baskerville"/>
                  <w:sz w:val="21"/>
                  <w:szCs w:val="21"/>
                </w:rPr>
                <w:t>lisa@grassrootsct.com</w:t>
              </w:r>
            </w:hyperlink>
          </w:p>
          <w:p w14:paraId="5BCCE143" w14:textId="77777777" w:rsidR="00CB6F9A" w:rsidRPr="007F6DB4" w:rsidRDefault="00CB6F9A" w:rsidP="00CB231F">
            <w:pPr>
              <w:spacing w:line="252" w:lineRule="auto"/>
              <w:rPr>
                <w:rFonts w:ascii="Baskerville" w:hAnsi="Baskerville" w:cs=" ˘ø◊«‰"/>
                <w:color w:val="000000"/>
                <w:sz w:val="21"/>
                <w:szCs w:val="21"/>
              </w:rPr>
            </w:pPr>
            <w:r w:rsidRPr="007F6DB4">
              <w:rPr>
                <w:rFonts w:ascii="Baskerville" w:hAnsi="Baskerville"/>
                <w:sz w:val="21"/>
                <w:szCs w:val="21"/>
              </w:rPr>
              <w:t xml:space="preserve">Tricia Dinneen Priebe - 203.464.3793 or </w:t>
            </w:r>
            <w:hyperlink r:id="rId14" w:history="1">
              <w:r w:rsidRPr="007F6DB4">
                <w:rPr>
                  <w:rFonts w:ascii="Baskerville" w:hAnsi="Baskerville"/>
                  <w:sz w:val="21"/>
                  <w:szCs w:val="21"/>
                </w:rPr>
                <w:t>tricia@grassrootsct.com</w:t>
              </w:r>
            </w:hyperlink>
          </w:p>
        </w:tc>
      </w:tr>
    </w:tbl>
    <w:p w14:paraId="479074AD" w14:textId="77777777" w:rsidR="00CB6F9A" w:rsidRPr="00CB6F9A" w:rsidRDefault="00CB6F9A" w:rsidP="00CB6F9A">
      <w:pPr>
        <w:spacing w:line="276" w:lineRule="auto"/>
        <w:rPr>
          <w:rFonts w:ascii="Baskerville" w:hAnsi="Baskerville"/>
        </w:rPr>
      </w:pPr>
    </w:p>
    <w:sectPr w:rsidR="00CB6F9A" w:rsidRPr="00CB6F9A" w:rsidSect="00EF4C07">
      <w:footerReference w:type="even" r:id="rId15"/>
      <w:footerReference w:type="default" r:id="rId16"/>
      <w:pgSz w:w="12240" w:h="15840"/>
      <w:pgMar w:top="729" w:right="1350" w:bottom="297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6502" w14:textId="77777777" w:rsidR="00D11888" w:rsidRDefault="00D11888" w:rsidP="00C871D3">
      <w:r>
        <w:separator/>
      </w:r>
    </w:p>
  </w:endnote>
  <w:endnote w:type="continuationSeparator" w:id="0">
    <w:p w14:paraId="650C81FD" w14:textId="77777777" w:rsidR="00D11888" w:rsidRDefault="00D11888" w:rsidP="00C8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 ˘ø◊«‰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AD76" w14:textId="77777777" w:rsidR="0013100B" w:rsidRDefault="0013100B" w:rsidP="00C81A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35065" w14:textId="77777777" w:rsidR="0013100B" w:rsidRDefault="0013100B" w:rsidP="00C871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87017" w14:textId="77777777" w:rsidR="0013100B" w:rsidRDefault="0013100B" w:rsidP="000C3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C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490D2C" w14:textId="77777777" w:rsidR="0013100B" w:rsidRDefault="0013100B" w:rsidP="00C871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513D4" w14:textId="77777777" w:rsidR="00D11888" w:rsidRDefault="00D11888" w:rsidP="00C871D3">
      <w:r>
        <w:separator/>
      </w:r>
    </w:p>
  </w:footnote>
  <w:footnote w:type="continuationSeparator" w:id="0">
    <w:p w14:paraId="2A565184" w14:textId="77777777" w:rsidR="00D11888" w:rsidRDefault="00D11888" w:rsidP="00C8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950FE"/>
    <w:multiLevelType w:val="hybridMultilevel"/>
    <w:tmpl w:val="1768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615"/>
    <w:multiLevelType w:val="hybridMultilevel"/>
    <w:tmpl w:val="4404E14A"/>
    <w:lvl w:ilvl="0" w:tplc="75E09A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3B4C6A"/>
    <w:multiLevelType w:val="hybridMultilevel"/>
    <w:tmpl w:val="26BC8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A4C"/>
    <w:multiLevelType w:val="hybridMultilevel"/>
    <w:tmpl w:val="C6BA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6B6C"/>
    <w:multiLevelType w:val="hybridMultilevel"/>
    <w:tmpl w:val="3DE88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2C64D6"/>
    <w:multiLevelType w:val="hybridMultilevel"/>
    <w:tmpl w:val="6806158C"/>
    <w:lvl w:ilvl="0" w:tplc="D74E7252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2D5AF7"/>
    <w:multiLevelType w:val="hybridMultilevel"/>
    <w:tmpl w:val="F29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90594"/>
    <w:multiLevelType w:val="hybridMultilevel"/>
    <w:tmpl w:val="7AB4C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48F7"/>
    <w:multiLevelType w:val="hybridMultilevel"/>
    <w:tmpl w:val="E1B0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635"/>
    <w:multiLevelType w:val="hybridMultilevel"/>
    <w:tmpl w:val="4C62C6F6"/>
    <w:lvl w:ilvl="0" w:tplc="4F945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7DE6"/>
    <w:multiLevelType w:val="hybridMultilevel"/>
    <w:tmpl w:val="570C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E27C6"/>
    <w:multiLevelType w:val="hybridMultilevel"/>
    <w:tmpl w:val="069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7112E"/>
    <w:multiLevelType w:val="hybridMultilevel"/>
    <w:tmpl w:val="A1F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460DC"/>
    <w:multiLevelType w:val="hybridMultilevel"/>
    <w:tmpl w:val="523A09AA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7909"/>
    <w:multiLevelType w:val="hybridMultilevel"/>
    <w:tmpl w:val="4C62C6F6"/>
    <w:lvl w:ilvl="0" w:tplc="4F9456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82600"/>
    <w:multiLevelType w:val="hybridMultilevel"/>
    <w:tmpl w:val="105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20A90"/>
    <w:multiLevelType w:val="hybridMultilevel"/>
    <w:tmpl w:val="D47A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6154"/>
    <w:multiLevelType w:val="hybridMultilevel"/>
    <w:tmpl w:val="28EC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20E6"/>
    <w:multiLevelType w:val="hybridMultilevel"/>
    <w:tmpl w:val="18DADBEC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E4DD3"/>
    <w:multiLevelType w:val="hybridMultilevel"/>
    <w:tmpl w:val="CF06C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D403E"/>
    <w:multiLevelType w:val="hybridMultilevel"/>
    <w:tmpl w:val="74F2F292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780C4D"/>
    <w:multiLevelType w:val="hybridMultilevel"/>
    <w:tmpl w:val="550A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667BF"/>
    <w:multiLevelType w:val="hybridMultilevel"/>
    <w:tmpl w:val="5C964FF2"/>
    <w:lvl w:ilvl="0" w:tplc="D74E72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449FD"/>
    <w:multiLevelType w:val="hybridMultilevel"/>
    <w:tmpl w:val="40CE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F296F"/>
    <w:multiLevelType w:val="hybridMultilevel"/>
    <w:tmpl w:val="8EE2F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03518"/>
    <w:multiLevelType w:val="hybridMultilevel"/>
    <w:tmpl w:val="992A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409A6"/>
    <w:multiLevelType w:val="hybridMultilevel"/>
    <w:tmpl w:val="E0268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C2323"/>
    <w:multiLevelType w:val="hybridMultilevel"/>
    <w:tmpl w:val="2CDAEF28"/>
    <w:lvl w:ilvl="0" w:tplc="2F4C01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F2AF9"/>
    <w:multiLevelType w:val="hybridMultilevel"/>
    <w:tmpl w:val="0764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37A2A"/>
    <w:multiLevelType w:val="hybridMultilevel"/>
    <w:tmpl w:val="D73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4058E"/>
    <w:multiLevelType w:val="hybridMultilevel"/>
    <w:tmpl w:val="AACC02C0"/>
    <w:lvl w:ilvl="0" w:tplc="EB303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524A8"/>
    <w:multiLevelType w:val="hybridMultilevel"/>
    <w:tmpl w:val="D0C80722"/>
    <w:lvl w:ilvl="0" w:tplc="D74E7252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EA6399"/>
    <w:multiLevelType w:val="hybridMultilevel"/>
    <w:tmpl w:val="5A40D3F0"/>
    <w:lvl w:ilvl="0" w:tplc="D74E7252">
      <w:start w:val="3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85651C0"/>
    <w:multiLevelType w:val="hybridMultilevel"/>
    <w:tmpl w:val="FBA22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404EE"/>
    <w:multiLevelType w:val="hybridMultilevel"/>
    <w:tmpl w:val="A8DEE9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ECD5B28"/>
    <w:multiLevelType w:val="multilevel"/>
    <w:tmpl w:val="DA988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9"/>
  </w:num>
  <w:num w:numId="5">
    <w:abstractNumId w:val="24"/>
  </w:num>
  <w:num w:numId="6">
    <w:abstractNumId w:val="29"/>
  </w:num>
  <w:num w:numId="7">
    <w:abstractNumId w:val="10"/>
  </w:num>
  <w:num w:numId="8">
    <w:abstractNumId w:val="35"/>
  </w:num>
  <w:num w:numId="9">
    <w:abstractNumId w:val="11"/>
  </w:num>
  <w:num w:numId="10">
    <w:abstractNumId w:val="13"/>
  </w:num>
  <w:num w:numId="11">
    <w:abstractNumId w:val="12"/>
  </w:num>
  <w:num w:numId="12">
    <w:abstractNumId w:val="31"/>
  </w:num>
  <w:num w:numId="13">
    <w:abstractNumId w:val="34"/>
  </w:num>
  <w:num w:numId="14">
    <w:abstractNumId w:val="16"/>
  </w:num>
  <w:num w:numId="15">
    <w:abstractNumId w:val="1"/>
  </w:num>
  <w:num w:numId="16">
    <w:abstractNumId w:val="4"/>
  </w:num>
  <w:num w:numId="17">
    <w:abstractNumId w:val="28"/>
  </w:num>
  <w:num w:numId="18">
    <w:abstractNumId w:val="6"/>
  </w:num>
  <w:num w:numId="19">
    <w:abstractNumId w:val="33"/>
  </w:num>
  <w:num w:numId="20">
    <w:abstractNumId w:val="3"/>
  </w:num>
  <w:num w:numId="21">
    <w:abstractNumId w:val="19"/>
  </w:num>
  <w:num w:numId="22">
    <w:abstractNumId w:val="14"/>
  </w:num>
  <w:num w:numId="23">
    <w:abstractNumId w:val="23"/>
  </w:num>
  <w:num w:numId="24">
    <w:abstractNumId w:val="30"/>
  </w:num>
  <w:num w:numId="25">
    <w:abstractNumId w:val="17"/>
  </w:num>
  <w:num w:numId="26">
    <w:abstractNumId w:val="26"/>
  </w:num>
  <w:num w:numId="27">
    <w:abstractNumId w:val="2"/>
  </w:num>
  <w:num w:numId="28">
    <w:abstractNumId w:val="5"/>
  </w:num>
  <w:num w:numId="29">
    <w:abstractNumId w:val="0"/>
  </w:num>
  <w:num w:numId="30">
    <w:abstractNumId w:val="27"/>
  </w:num>
  <w:num w:numId="31">
    <w:abstractNumId w:val="20"/>
  </w:num>
  <w:num w:numId="32">
    <w:abstractNumId w:val="8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2"/>
    <w:rsid w:val="0000495B"/>
    <w:rsid w:val="000163AB"/>
    <w:rsid w:val="00024F8D"/>
    <w:rsid w:val="00046BBE"/>
    <w:rsid w:val="00052BAB"/>
    <w:rsid w:val="00055AF3"/>
    <w:rsid w:val="00087862"/>
    <w:rsid w:val="000A2BB8"/>
    <w:rsid w:val="000B6E67"/>
    <w:rsid w:val="000C3E09"/>
    <w:rsid w:val="000E1883"/>
    <w:rsid w:val="000E2F4F"/>
    <w:rsid w:val="000F6440"/>
    <w:rsid w:val="00106E20"/>
    <w:rsid w:val="00110660"/>
    <w:rsid w:val="001118C4"/>
    <w:rsid w:val="0013100B"/>
    <w:rsid w:val="00133F25"/>
    <w:rsid w:val="00136683"/>
    <w:rsid w:val="001612E1"/>
    <w:rsid w:val="0016409A"/>
    <w:rsid w:val="001652F6"/>
    <w:rsid w:val="00166810"/>
    <w:rsid w:val="0019433A"/>
    <w:rsid w:val="00194581"/>
    <w:rsid w:val="001950B3"/>
    <w:rsid w:val="001A3FF3"/>
    <w:rsid w:val="001B4ED6"/>
    <w:rsid w:val="001C12C8"/>
    <w:rsid w:val="001C558A"/>
    <w:rsid w:val="001D0731"/>
    <w:rsid w:val="001D4CE6"/>
    <w:rsid w:val="001D5308"/>
    <w:rsid w:val="001D6A36"/>
    <w:rsid w:val="001D7CD8"/>
    <w:rsid w:val="001E2C45"/>
    <w:rsid w:val="00201AAF"/>
    <w:rsid w:val="00211008"/>
    <w:rsid w:val="002227A8"/>
    <w:rsid w:val="00224187"/>
    <w:rsid w:val="00266E8F"/>
    <w:rsid w:val="0027247C"/>
    <w:rsid w:val="0027541C"/>
    <w:rsid w:val="002809DF"/>
    <w:rsid w:val="0028145A"/>
    <w:rsid w:val="00290087"/>
    <w:rsid w:val="0029176A"/>
    <w:rsid w:val="00297571"/>
    <w:rsid w:val="002A112F"/>
    <w:rsid w:val="002A4941"/>
    <w:rsid w:val="002B40EB"/>
    <w:rsid w:val="002D4017"/>
    <w:rsid w:val="002D513F"/>
    <w:rsid w:val="003143C8"/>
    <w:rsid w:val="00321F65"/>
    <w:rsid w:val="00334FA1"/>
    <w:rsid w:val="00337234"/>
    <w:rsid w:val="0034235E"/>
    <w:rsid w:val="003447B8"/>
    <w:rsid w:val="00355C10"/>
    <w:rsid w:val="0036141A"/>
    <w:rsid w:val="00375345"/>
    <w:rsid w:val="003821F9"/>
    <w:rsid w:val="00382F4A"/>
    <w:rsid w:val="00390901"/>
    <w:rsid w:val="003916CC"/>
    <w:rsid w:val="0039625B"/>
    <w:rsid w:val="003B1C6D"/>
    <w:rsid w:val="003B256B"/>
    <w:rsid w:val="003B56C0"/>
    <w:rsid w:val="003C557A"/>
    <w:rsid w:val="003D3998"/>
    <w:rsid w:val="003E6637"/>
    <w:rsid w:val="003F090A"/>
    <w:rsid w:val="003F6A58"/>
    <w:rsid w:val="003F73A5"/>
    <w:rsid w:val="00405E02"/>
    <w:rsid w:val="00407CAB"/>
    <w:rsid w:val="00410BE1"/>
    <w:rsid w:val="0041541C"/>
    <w:rsid w:val="00420AE3"/>
    <w:rsid w:val="00426F94"/>
    <w:rsid w:val="00427FED"/>
    <w:rsid w:val="004309BC"/>
    <w:rsid w:val="004312AB"/>
    <w:rsid w:val="00432C05"/>
    <w:rsid w:val="00437995"/>
    <w:rsid w:val="004406B9"/>
    <w:rsid w:val="00442858"/>
    <w:rsid w:val="004429DE"/>
    <w:rsid w:val="00444455"/>
    <w:rsid w:val="00452FD6"/>
    <w:rsid w:val="00460BB4"/>
    <w:rsid w:val="00463471"/>
    <w:rsid w:val="00470E53"/>
    <w:rsid w:val="00472741"/>
    <w:rsid w:val="00495081"/>
    <w:rsid w:val="004A3CC6"/>
    <w:rsid w:val="004B6CBC"/>
    <w:rsid w:val="004C628E"/>
    <w:rsid w:val="004D2102"/>
    <w:rsid w:val="004D3333"/>
    <w:rsid w:val="004E2EEB"/>
    <w:rsid w:val="004E6755"/>
    <w:rsid w:val="005012E4"/>
    <w:rsid w:val="0052173B"/>
    <w:rsid w:val="005560AF"/>
    <w:rsid w:val="00557B99"/>
    <w:rsid w:val="00557D5F"/>
    <w:rsid w:val="00561857"/>
    <w:rsid w:val="00562269"/>
    <w:rsid w:val="00580E2A"/>
    <w:rsid w:val="005855B6"/>
    <w:rsid w:val="005870BB"/>
    <w:rsid w:val="005C01B2"/>
    <w:rsid w:val="005C1D17"/>
    <w:rsid w:val="005C4B5C"/>
    <w:rsid w:val="005E5ED5"/>
    <w:rsid w:val="00612B84"/>
    <w:rsid w:val="006225F3"/>
    <w:rsid w:val="00630982"/>
    <w:rsid w:val="00630D95"/>
    <w:rsid w:val="00636398"/>
    <w:rsid w:val="0064370E"/>
    <w:rsid w:val="00660472"/>
    <w:rsid w:val="00676C11"/>
    <w:rsid w:val="0069047C"/>
    <w:rsid w:val="00693FCA"/>
    <w:rsid w:val="006A1B60"/>
    <w:rsid w:val="006B6E77"/>
    <w:rsid w:val="006B7ED2"/>
    <w:rsid w:val="006C4AF5"/>
    <w:rsid w:val="006D548D"/>
    <w:rsid w:val="006D6A6F"/>
    <w:rsid w:val="006E3C62"/>
    <w:rsid w:val="006E75D8"/>
    <w:rsid w:val="006F6991"/>
    <w:rsid w:val="00711F36"/>
    <w:rsid w:val="00726413"/>
    <w:rsid w:val="00730E6A"/>
    <w:rsid w:val="0074019F"/>
    <w:rsid w:val="00746106"/>
    <w:rsid w:val="00757ED6"/>
    <w:rsid w:val="00774E8D"/>
    <w:rsid w:val="00776C46"/>
    <w:rsid w:val="00781951"/>
    <w:rsid w:val="00787613"/>
    <w:rsid w:val="00790B45"/>
    <w:rsid w:val="007A584D"/>
    <w:rsid w:val="007A7A64"/>
    <w:rsid w:val="007A7B48"/>
    <w:rsid w:val="007A7CA1"/>
    <w:rsid w:val="007B03D4"/>
    <w:rsid w:val="007C6A28"/>
    <w:rsid w:val="007F41E7"/>
    <w:rsid w:val="008042EE"/>
    <w:rsid w:val="00805E6D"/>
    <w:rsid w:val="00816116"/>
    <w:rsid w:val="00821600"/>
    <w:rsid w:val="00830031"/>
    <w:rsid w:val="008322E3"/>
    <w:rsid w:val="00843A50"/>
    <w:rsid w:val="00844EB1"/>
    <w:rsid w:val="00852F73"/>
    <w:rsid w:val="00873898"/>
    <w:rsid w:val="00890274"/>
    <w:rsid w:val="00892226"/>
    <w:rsid w:val="008B12BB"/>
    <w:rsid w:val="008B4C2F"/>
    <w:rsid w:val="008C2AEA"/>
    <w:rsid w:val="008E3EC6"/>
    <w:rsid w:val="008E563F"/>
    <w:rsid w:val="008F7C25"/>
    <w:rsid w:val="009073D6"/>
    <w:rsid w:val="00927B2A"/>
    <w:rsid w:val="00934ECD"/>
    <w:rsid w:val="00942C16"/>
    <w:rsid w:val="00961B8F"/>
    <w:rsid w:val="009779FF"/>
    <w:rsid w:val="0099342C"/>
    <w:rsid w:val="009A06FB"/>
    <w:rsid w:val="009A5133"/>
    <w:rsid w:val="009B1AA0"/>
    <w:rsid w:val="009B5370"/>
    <w:rsid w:val="009B5659"/>
    <w:rsid w:val="009E261C"/>
    <w:rsid w:val="009F168A"/>
    <w:rsid w:val="009F6649"/>
    <w:rsid w:val="009F7AED"/>
    <w:rsid w:val="00A01B00"/>
    <w:rsid w:val="00A04588"/>
    <w:rsid w:val="00A05722"/>
    <w:rsid w:val="00A10765"/>
    <w:rsid w:val="00A168C2"/>
    <w:rsid w:val="00A213A3"/>
    <w:rsid w:val="00A311C9"/>
    <w:rsid w:val="00A32A8D"/>
    <w:rsid w:val="00A50850"/>
    <w:rsid w:val="00A51846"/>
    <w:rsid w:val="00A5221B"/>
    <w:rsid w:val="00A726AA"/>
    <w:rsid w:val="00A744F6"/>
    <w:rsid w:val="00A95FA9"/>
    <w:rsid w:val="00A961BF"/>
    <w:rsid w:val="00AA100A"/>
    <w:rsid w:val="00AB430F"/>
    <w:rsid w:val="00AF70A5"/>
    <w:rsid w:val="00B13118"/>
    <w:rsid w:val="00B16B25"/>
    <w:rsid w:val="00B303F0"/>
    <w:rsid w:val="00B36044"/>
    <w:rsid w:val="00B42635"/>
    <w:rsid w:val="00B42D52"/>
    <w:rsid w:val="00B43362"/>
    <w:rsid w:val="00B50A36"/>
    <w:rsid w:val="00B52AE5"/>
    <w:rsid w:val="00B6093E"/>
    <w:rsid w:val="00B60C3A"/>
    <w:rsid w:val="00B60D02"/>
    <w:rsid w:val="00B638B6"/>
    <w:rsid w:val="00B71E38"/>
    <w:rsid w:val="00B93229"/>
    <w:rsid w:val="00B97F78"/>
    <w:rsid w:val="00BB08E1"/>
    <w:rsid w:val="00BB2539"/>
    <w:rsid w:val="00BB3564"/>
    <w:rsid w:val="00BC14DA"/>
    <w:rsid w:val="00BC5E1B"/>
    <w:rsid w:val="00BD58C6"/>
    <w:rsid w:val="00BE19AA"/>
    <w:rsid w:val="00C00165"/>
    <w:rsid w:val="00C01C1D"/>
    <w:rsid w:val="00C02145"/>
    <w:rsid w:val="00C047FB"/>
    <w:rsid w:val="00C05C38"/>
    <w:rsid w:val="00C16BFA"/>
    <w:rsid w:val="00C17CC8"/>
    <w:rsid w:val="00C378BD"/>
    <w:rsid w:val="00C4266B"/>
    <w:rsid w:val="00C454E1"/>
    <w:rsid w:val="00C460CC"/>
    <w:rsid w:val="00C512F0"/>
    <w:rsid w:val="00C62F44"/>
    <w:rsid w:val="00C63F94"/>
    <w:rsid w:val="00C71274"/>
    <w:rsid w:val="00C75E7B"/>
    <w:rsid w:val="00C7686C"/>
    <w:rsid w:val="00C81A6D"/>
    <w:rsid w:val="00C85399"/>
    <w:rsid w:val="00C871D3"/>
    <w:rsid w:val="00C950CE"/>
    <w:rsid w:val="00CB6F9A"/>
    <w:rsid w:val="00CC1EB9"/>
    <w:rsid w:val="00CD32F6"/>
    <w:rsid w:val="00CD35AD"/>
    <w:rsid w:val="00CD4CC7"/>
    <w:rsid w:val="00D00EFE"/>
    <w:rsid w:val="00D0263A"/>
    <w:rsid w:val="00D04F34"/>
    <w:rsid w:val="00D10C11"/>
    <w:rsid w:val="00D11888"/>
    <w:rsid w:val="00D14ADE"/>
    <w:rsid w:val="00D3636E"/>
    <w:rsid w:val="00D41FC9"/>
    <w:rsid w:val="00D478E3"/>
    <w:rsid w:val="00D5409B"/>
    <w:rsid w:val="00D616A5"/>
    <w:rsid w:val="00D76483"/>
    <w:rsid w:val="00D8647A"/>
    <w:rsid w:val="00DA645E"/>
    <w:rsid w:val="00DB27CC"/>
    <w:rsid w:val="00DC7957"/>
    <w:rsid w:val="00DD242B"/>
    <w:rsid w:val="00DD5710"/>
    <w:rsid w:val="00DD656B"/>
    <w:rsid w:val="00DD688F"/>
    <w:rsid w:val="00DF2887"/>
    <w:rsid w:val="00DF2CF3"/>
    <w:rsid w:val="00DF4E9E"/>
    <w:rsid w:val="00E04A3D"/>
    <w:rsid w:val="00E24941"/>
    <w:rsid w:val="00E2738F"/>
    <w:rsid w:val="00E32BD0"/>
    <w:rsid w:val="00E53FE1"/>
    <w:rsid w:val="00E64C0E"/>
    <w:rsid w:val="00E71018"/>
    <w:rsid w:val="00E82315"/>
    <w:rsid w:val="00E91C07"/>
    <w:rsid w:val="00E93ED7"/>
    <w:rsid w:val="00ED6CC0"/>
    <w:rsid w:val="00ED7D34"/>
    <w:rsid w:val="00EE2AFC"/>
    <w:rsid w:val="00EE3438"/>
    <w:rsid w:val="00EF1B6B"/>
    <w:rsid w:val="00EF4917"/>
    <w:rsid w:val="00EF4C07"/>
    <w:rsid w:val="00EF775A"/>
    <w:rsid w:val="00F13B0B"/>
    <w:rsid w:val="00F17335"/>
    <w:rsid w:val="00F17CFD"/>
    <w:rsid w:val="00F22036"/>
    <w:rsid w:val="00F3026A"/>
    <w:rsid w:val="00F3379F"/>
    <w:rsid w:val="00F363B9"/>
    <w:rsid w:val="00F37B23"/>
    <w:rsid w:val="00F4006C"/>
    <w:rsid w:val="00F40DFB"/>
    <w:rsid w:val="00F431D8"/>
    <w:rsid w:val="00F44B18"/>
    <w:rsid w:val="00F66E69"/>
    <w:rsid w:val="00F6770F"/>
    <w:rsid w:val="00F73621"/>
    <w:rsid w:val="00F76344"/>
    <w:rsid w:val="00F80877"/>
    <w:rsid w:val="00F82587"/>
    <w:rsid w:val="00F84362"/>
    <w:rsid w:val="00F9314A"/>
    <w:rsid w:val="00FA77DA"/>
    <w:rsid w:val="00FB7E25"/>
    <w:rsid w:val="00FC16EB"/>
    <w:rsid w:val="00FC2FCA"/>
    <w:rsid w:val="00FC7E21"/>
    <w:rsid w:val="00FD5EE9"/>
    <w:rsid w:val="00FE266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F5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90A"/>
  </w:style>
  <w:style w:type="paragraph" w:styleId="Heading1">
    <w:name w:val="heading 1"/>
    <w:basedOn w:val="Normal"/>
    <w:next w:val="Normal"/>
    <w:link w:val="Heading1Char"/>
    <w:uiPriority w:val="9"/>
    <w:qFormat/>
    <w:rsid w:val="00087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9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95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878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E1883"/>
    <w:pPr>
      <w:ind w:left="720"/>
      <w:contextualSpacing/>
    </w:pPr>
  </w:style>
  <w:style w:type="table" w:styleId="TableGrid">
    <w:name w:val="Table Grid"/>
    <w:basedOn w:val="TableNormal"/>
    <w:uiPriority w:val="59"/>
    <w:rsid w:val="000E1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E18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8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883"/>
  </w:style>
  <w:style w:type="paragraph" w:styleId="BalloonText">
    <w:name w:val="Balloon Text"/>
    <w:basedOn w:val="Normal"/>
    <w:link w:val="BalloonTextChar"/>
    <w:uiPriority w:val="99"/>
    <w:semiHidden/>
    <w:unhideWhenUsed/>
    <w:rsid w:val="000E1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8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C1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1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C1EB9"/>
  </w:style>
  <w:style w:type="character" w:styleId="Hyperlink">
    <w:name w:val="Hyperlink"/>
    <w:basedOn w:val="DefaultParagraphFont"/>
    <w:uiPriority w:val="99"/>
    <w:unhideWhenUsed/>
    <w:rsid w:val="008C2A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AE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1D3"/>
  </w:style>
  <w:style w:type="character" w:styleId="PageNumber">
    <w:name w:val="page number"/>
    <w:basedOn w:val="DefaultParagraphFont"/>
    <w:uiPriority w:val="99"/>
    <w:semiHidden/>
    <w:unhideWhenUsed/>
    <w:rsid w:val="00C871D3"/>
  </w:style>
  <w:style w:type="paragraph" w:styleId="TOCHeading">
    <w:name w:val="TOC Heading"/>
    <w:basedOn w:val="Heading1"/>
    <w:next w:val="Normal"/>
    <w:uiPriority w:val="39"/>
    <w:unhideWhenUsed/>
    <w:qFormat/>
    <w:rsid w:val="001C12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5E1B"/>
    <w:pPr>
      <w:tabs>
        <w:tab w:val="left" w:pos="8910"/>
      </w:tabs>
      <w:spacing w:before="120" w:line="276" w:lineRule="auto"/>
      <w:ind w:left="7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9F168A"/>
    <w:pPr>
      <w:tabs>
        <w:tab w:val="left" w:pos="8910"/>
      </w:tabs>
      <w:ind w:left="72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431D8"/>
    <w:pPr>
      <w:tabs>
        <w:tab w:val="left" w:pos="8820"/>
        <w:tab w:val="right" w:leader="dot" w:pos="9260"/>
      </w:tabs>
      <w:spacing w:line="276" w:lineRule="auto"/>
      <w:ind w:left="72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12C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2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EB"/>
  </w:style>
  <w:style w:type="paragraph" w:styleId="NormalWeb">
    <w:name w:val="Normal (Web)"/>
    <w:basedOn w:val="Normal"/>
    <w:uiPriority w:val="99"/>
    <w:semiHidden/>
    <w:unhideWhenUsed/>
    <w:rsid w:val="00F7634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8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cassociation.org/asca/communityresources/ourlibrary/viewdocument?DocumentKey=f5585e3c-6d77-4287-a752-c7fac0029dd6" TargetMode="External"/><Relationship Id="rId12" Type="http://schemas.openxmlformats.org/officeDocument/2006/relationships/image" Target="media/image2.jpeg"/><Relationship Id="rId13" Type="http://schemas.openxmlformats.org/officeDocument/2006/relationships/hyperlink" Target="mailto:lisa@grassrootsct.com" TargetMode="External"/><Relationship Id="rId14" Type="http://schemas.openxmlformats.org/officeDocument/2006/relationships/hyperlink" Target="mailto:tricia@grassrootsct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2.cbia.com/ieb/ag/medical/zpdf/PreferredTreatmentSites/ConnectiCare/Preferred%20Treatment_OutPatient.pdf" TargetMode="External"/><Relationship Id="rId10" Type="http://schemas.openxmlformats.org/officeDocument/2006/relationships/hyperlink" Target="http://www.ascassociation.org/asca/communityresources/ourlibrary/viewdocument?DocumentKey=f5585e3c-6d77-4287-a752-c7fac0029d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42523-A36A-704F-9F91-129ACE0A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Divigard</dc:creator>
  <cp:keywords/>
  <dc:description/>
  <cp:lastModifiedBy>Christina Divigard</cp:lastModifiedBy>
  <cp:revision>7</cp:revision>
  <cp:lastPrinted>2015-10-12T19:36:00Z</cp:lastPrinted>
  <dcterms:created xsi:type="dcterms:W3CDTF">2018-03-01T18:28:00Z</dcterms:created>
  <dcterms:modified xsi:type="dcterms:W3CDTF">2018-03-27T13:11:00Z</dcterms:modified>
  <cp:category/>
</cp:coreProperties>
</file>